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vertAnchor="page" w:horzAnchor="page" w:tblpX="8687" w:tblpY="511"/>
        <w:tblW w:w="15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3F2067">
        <w:trPr>
          <w:cantSplit/>
          <w:trHeight w:val="567"/>
        </w:trPr>
        <w:tc>
          <w:tcPr>
            <w:tcW w:w="1581" w:type="dxa"/>
          </w:tcPr>
          <w:p w:rsidR="003F2067" w:rsidRDefault="003F2067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p w:rsidR="003F2067" w:rsidRDefault="003F2067">
      <w:pPr>
        <w:pStyle w:val="ConsNonformat0"/>
        <w:widowControl/>
        <w:spacing w:line="240" w:lineRule="exact"/>
        <w:rPr>
          <w:rFonts w:ascii="Times New Roman" w:hAnsi="Times New Roman" w:cs="Times New Roman"/>
          <w:sz w:val="27"/>
          <w:szCs w:val="27"/>
        </w:rPr>
      </w:pP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>Правомерно ли отстранение несовершеннолетних лиц, не привитых против кори, от учебного процесса?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целях соблюдения основного принципа государственной политики и правового регулирования отношений в сфере образования, указанного Федеральным законом от 29.12</w:t>
      </w:r>
      <w:r>
        <w:rPr>
          <w:sz w:val="27"/>
          <w:szCs w:val="27"/>
        </w:rPr>
        <w:t>.2012 № 273-ФЗ «Об образовании в Российской Федерации» о приоритете жизни и здоровья человека, несовершеннолетние, привитые против кори однократно, то есть не прошедшие полный курс иммунизации, при выявлении очага коревой инфекции в образовательной организ</w:t>
      </w:r>
      <w:r>
        <w:rPr>
          <w:sz w:val="27"/>
          <w:szCs w:val="27"/>
        </w:rPr>
        <w:t>ации не отстраняются из учебного коллектива. Дети, имевшие контакт с больным корью, при подозрении на заболевание, и не болевшие корью ранее, не привитые, не имеющие сведений о прививках против кори, а также лица старше 6 лет, привитые однократно, подлежат</w:t>
      </w:r>
      <w:r>
        <w:rPr>
          <w:sz w:val="27"/>
          <w:szCs w:val="27"/>
        </w:rPr>
        <w:t xml:space="preserve"> иммунизации против кори по эпидемическим показаниям. При отказе законных представителей несовершеннолетних от иммунизации данная категория детей отстраняется из организованного коллектива.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Если ребенок впервые привит после выявления очага инфекции, то он </w:t>
      </w:r>
      <w:r>
        <w:rPr>
          <w:sz w:val="27"/>
          <w:szCs w:val="27"/>
        </w:rPr>
        <w:t>может быть допущен в коллектив через 21 день после проведенной иммунизации. Если однократно вакцинированный несовершеннолетний привит после выявления очага инфекции, то он допускается в коллектив сразу после проведенной ревакцинации.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Какие новые методы </w:t>
      </w:r>
      <w:r>
        <w:rPr>
          <w:sz w:val="27"/>
          <w:szCs w:val="27"/>
        </w:rPr>
        <w:t>мошенничества в социальных сетях?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</w:t>
      </w:r>
      <w:r>
        <w:rPr>
          <w:sz w:val="27"/>
          <w:szCs w:val="27"/>
        </w:rPr>
        <w:t>део-звонка в мобильных мессенджерах (Ватсап, Телеграмм).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Алгоритм их действий весьма прост: чтобы отвести подозрение и получить доверие со стороны потерпевших, мошенники звонят на мобильные мессенджеры и представляются сотрудниками правоохранительных орган</w:t>
      </w:r>
      <w:r>
        <w:rPr>
          <w:sz w:val="27"/>
          <w:szCs w:val="27"/>
        </w:rPr>
        <w:t>ов. При этом, звонок сопровождается видео-вызовом и демонстрацией служебного удостоверения.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этом кроется опасность, поскольку потерпевший начинает думать: не скрывает себя, значит обмана нет!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в ходе телефонного разговора применяют методы психол</w:t>
      </w:r>
      <w:r>
        <w:rPr>
          <w:sz w:val="27"/>
          <w:szCs w:val="27"/>
        </w:rPr>
        <w:t xml:space="preserve">огического насилия,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</w:t>
      </w:r>
      <w:r>
        <w:rPr>
          <w:sz w:val="27"/>
          <w:szCs w:val="27"/>
        </w:rPr>
        <w:t>денежные средства на подконтрольные мошенникам счета.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Важно помнить, что сотрудники правоохранительных органов не осуществляют звонки гражданам, в том числе видео-звонки на мобильные мессенджеры (Ватсап, Телеграмм).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При поступлении подобного звонка необход</w:t>
      </w:r>
      <w:r>
        <w:rPr>
          <w:sz w:val="27"/>
          <w:szCs w:val="27"/>
        </w:rPr>
        <w:t>имо прервать разговор и обратиться в полицию по номеру 112.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3. Какая административная ответственность за незаконный оборот наркотических средств, психотропных веществ или их аналогов?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Статьей 6.8 КоАП РФ за незаконный оборот наркотических средств, психотро</w:t>
      </w:r>
      <w:r>
        <w:rPr>
          <w:sz w:val="27"/>
          <w:szCs w:val="27"/>
        </w:rPr>
        <w:t xml:space="preserve">пных веществ или их аналогов и незаконные приобретение, хранение, </w:t>
      </w:r>
      <w:r>
        <w:rPr>
          <w:sz w:val="27"/>
          <w:szCs w:val="27"/>
        </w:rPr>
        <w:lastRenderedPageBreak/>
        <w:t>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</w:t>
      </w:r>
      <w:r>
        <w:rPr>
          <w:sz w:val="27"/>
          <w:szCs w:val="27"/>
        </w:rPr>
        <w:t>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Если указанное административное правонарушение совершено иностранным гражданином или лицом без г</w:t>
      </w:r>
      <w:r>
        <w:rPr>
          <w:sz w:val="27"/>
          <w:szCs w:val="27"/>
        </w:rPr>
        <w:t>ражданства, то кроме уплаты штрафа или отбытия административного ареста, виновный подлежит выдворению за пределы Российской Федерации.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Не подлежит привлечению к административной ответственности лицо, добровольно сдавшее приобретенные без цели сбыта </w:t>
      </w:r>
      <w:r>
        <w:rPr>
          <w:sz w:val="27"/>
          <w:szCs w:val="27"/>
        </w:rPr>
        <w:t>наркотические средства, психотропные вещества, их аналоги или растения, содержащие наркотические средства или психотропные вещества, либо их части, содержащие наркотические средства или психотропные вещества.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4. В каких случаях можно получать пенсию в безз</w:t>
      </w:r>
      <w:r>
        <w:rPr>
          <w:sz w:val="27"/>
          <w:szCs w:val="27"/>
        </w:rPr>
        <w:t>аявительном порядке?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С 01.01.2024 вступил в силу приказ Министерства труда и социальной защиты Российской Федерации от 31.05.2023 № 488н, которым предусмотрено, что страховая и социальная пенсии по случаю потери кормильца, а также социальная пенсия детям, </w:t>
      </w:r>
      <w:r>
        <w:rPr>
          <w:sz w:val="27"/>
          <w:szCs w:val="27"/>
        </w:rPr>
        <w:t>оба родителя которых неизвестны, будут назначаться в беззаявительном порядке.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Так, назначение страховой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</w:t>
      </w:r>
      <w:r>
        <w:rPr>
          <w:sz w:val="27"/>
          <w:szCs w:val="27"/>
        </w:rPr>
        <w:t>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Перечисленные виды пенсий назначает территориал</w:t>
      </w:r>
      <w:r>
        <w:rPr>
          <w:sz w:val="27"/>
          <w:szCs w:val="27"/>
        </w:rPr>
        <w:t>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п</w:t>
      </w:r>
      <w:r>
        <w:rPr>
          <w:sz w:val="27"/>
          <w:szCs w:val="27"/>
        </w:rPr>
        <w:t>о инвалидности или социальной пенсии по инвалидности в течение трех рабочих дней со дня вынесения решения о назначении.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Аналогичные правила устанавливаются при назначении страховой пенсии или социальной пенсии по случаю потери кормильца. Страховые и социал</w:t>
      </w:r>
      <w:r>
        <w:rPr>
          <w:sz w:val="27"/>
          <w:szCs w:val="27"/>
        </w:rPr>
        <w:t>ьные пенсии по случаю потери кормильца его детям, не достигшим возраста 18 лет,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Вводится также</w:t>
      </w:r>
      <w:r>
        <w:rPr>
          <w:sz w:val="27"/>
          <w:szCs w:val="27"/>
        </w:rPr>
        <w:t xml:space="preserve"> беззаявительный перерасчет фиксированной выплаты к страховой пенсии по старости и по инвалидности.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5. Какие новые основания проведения документарных проверок в 2024 году?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Постановлением Правительства Российской Федерации от 23.05.2024 № 637 внесены измене</w:t>
      </w:r>
      <w:r>
        <w:rPr>
          <w:sz w:val="27"/>
          <w:szCs w:val="27"/>
        </w:rPr>
        <w:t>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прове</w:t>
      </w:r>
      <w:r>
        <w:rPr>
          <w:sz w:val="27"/>
          <w:szCs w:val="27"/>
        </w:rPr>
        <w:t>рок.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любых товаров или продукции (оборудования либо средств для их производства),</w:t>
      </w:r>
      <w:r>
        <w:rPr>
          <w:sz w:val="27"/>
          <w:szCs w:val="27"/>
        </w:rPr>
        <w:t xml:space="preserve"> которые не являются вещественными доказательствами по уголовному делу. Речь идет об изъятии, произведенном при проверке сообщения о преступлении либо при оперативно-розыскных мероприятиях. 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вещей (из числа орудий или предметов административного нарушени</w:t>
      </w:r>
      <w:r>
        <w:rPr>
          <w:sz w:val="27"/>
          <w:szCs w:val="27"/>
        </w:rPr>
        <w:t>я), при обороте которых не соблюдались обязательные требования. Материалы должны поступить от органов либо должностных лиц, которые рассматривают дела об административных правонарушениях.</w:t>
      </w:r>
    </w:p>
    <w:p w:rsidR="003F2067" w:rsidRDefault="00A30E76">
      <w:pPr>
        <w:pStyle w:val="ab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bookmarkStart w:id="0" w:name="_GoBack"/>
      <w:bookmarkEnd w:id="0"/>
    </w:p>
    <w:sectPr w:rsidR="003F2067">
      <w:headerReference w:type="default" r:id="rId10"/>
      <w:headerReference w:type="first" r:id="rId11"/>
      <w:footerReference w:type="first" r:id="rId12"/>
      <w:pgSz w:w="11906" w:h="16838"/>
      <w:pgMar w:top="766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76" w:rsidRDefault="00A30E76">
      <w:pPr>
        <w:spacing w:after="0" w:line="240" w:lineRule="auto"/>
      </w:pPr>
      <w:r>
        <w:separator/>
      </w:r>
    </w:p>
  </w:endnote>
  <w:endnote w:type="continuationSeparator" w:id="0">
    <w:p w:rsidR="00A30E76" w:rsidRDefault="00A3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67" w:rsidRDefault="003F2067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76" w:rsidRDefault="00A30E76">
      <w:pPr>
        <w:spacing w:after="0" w:line="240" w:lineRule="auto"/>
      </w:pPr>
      <w:r>
        <w:separator/>
      </w:r>
    </w:p>
  </w:footnote>
  <w:footnote w:type="continuationSeparator" w:id="0">
    <w:p w:rsidR="00A30E76" w:rsidRDefault="00A3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400184"/>
      <w:docPartObj>
        <w:docPartGallery w:val="Page Numbers (Top of Page)"/>
        <w:docPartUnique/>
      </w:docPartObj>
    </w:sdtPr>
    <w:sdtEndPr/>
    <w:sdtContent>
      <w:p w:rsidR="003F2067" w:rsidRDefault="00A30E76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80ED1">
          <w:rPr>
            <w:noProof/>
          </w:rPr>
          <w:t>3</w:t>
        </w:r>
        <w:r>
          <w:fldChar w:fldCharType="end"/>
        </w:r>
      </w:p>
    </w:sdtContent>
  </w:sdt>
  <w:p w:rsidR="003F2067" w:rsidRDefault="003F206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67" w:rsidRDefault="003F2067">
    <w:pPr>
      <w:pStyle w:val="a4"/>
      <w:jc w:val="center"/>
    </w:pPr>
  </w:p>
  <w:p w:rsidR="003F2067" w:rsidRDefault="003F20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67"/>
    <w:rsid w:val="001146E9"/>
    <w:rsid w:val="003F2067"/>
    <w:rsid w:val="00A30E76"/>
    <w:rsid w:val="00D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212FD"/>
  </w:style>
  <w:style w:type="character" w:customStyle="1" w:styleId="a5">
    <w:name w:val="Нижний колонтитул Знак"/>
    <w:basedOn w:val="a0"/>
    <w:link w:val="a6"/>
    <w:uiPriority w:val="99"/>
    <w:qFormat/>
    <w:rsid w:val="007212FD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3C2B52"/>
    <w:rPr>
      <w:rFonts w:ascii="Segoe UI" w:hAnsi="Segoe UI" w:cs="Segoe UI"/>
      <w:sz w:val="18"/>
      <w:szCs w:val="18"/>
    </w:rPr>
  </w:style>
  <w:style w:type="character" w:customStyle="1" w:styleId="ConsNonformat">
    <w:name w:val="ConsNonformat Знак"/>
    <w:link w:val="ConsNonformat0"/>
    <w:qFormat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semiHidden/>
    <w:unhideWhenUsed/>
    <w:rsid w:val="006403C9"/>
    <w:rPr>
      <w:color w:val="0563C1" w:themeColor="hyperlink"/>
      <w:u w:val="single"/>
    </w:rPr>
  </w:style>
  <w:style w:type="character" w:customStyle="1" w:styleId="aa">
    <w:name w:val="Основной текст Знак"/>
    <w:basedOn w:val="a0"/>
    <w:link w:val="ab"/>
    <w:uiPriority w:val="99"/>
    <w:qFormat/>
    <w:rsid w:val="0064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uiPriority w:val="99"/>
    <w:unhideWhenUsed/>
    <w:rsid w:val="00640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qFormat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0">
    <w:name w:val="ConsNonformat"/>
    <w:link w:val="ConsNonformat"/>
    <w:qFormat/>
    <w:rsid w:val="00345F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39"/>
    <w:rsid w:val="0008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212FD"/>
  </w:style>
  <w:style w:type="character" w:customStyle="1" w:styleId="a5">
    <w:name w:val="Нижний колонтитул Знак"/>
    <w:basedOn w:val="a0"/>
    <w:link w:val="a6"/>
    <w:uiPriority w:val="99"/>
    <w:qFormat/>
    <w:rsid w:val="007212FD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3C2B52"/>
    <w:rPr>
      <w:rFonts w:ascii="Segoe UI" w:hAnsi="Segoe UI" w:cs="Segoe UI"/>
      <w:sz w:val="18"/>
      <w:szCs w:val="18"/>
    </w:rPr>
  </w:style>
  <w:style w:type="character" w:customStyle="1" w:styleId="ConsNonformat">
    <w:name w:val="ConsNonformat Знак"/>
    <w:link w:val="ConsNonformat0"/>
    <w:qFormat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semiHidden/>
    <w:unhideWhenUsed/>
    <w:rsid w:val="006403C9"/>
    <w:rPr>
      <w:color w:val="0563C1" w:themeColor="hyperlink"/>
      <w:u w:val="single"/>
    </w:rPr>
  </w:style>
  <w:style w:type="character" w:customStyle="1" w:styleId="aa">
    <w:name w:val="Основной текст Знак"/>
    <w:basedOn w:val="a0"/>
    <w:link w:val="ab"/>
    <w:uiPriority w:val="99"/>
    <w:qFormat/>
    <w:rsid w:val="0064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uiPriority w:val="99"/>
    <w:unhideWhenUsed/>
    <w:rsid w:val="00640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qFormat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0">
    <w:name w:val="ConsNonformat"/>
    <w:link w:val="ConsNonformat"/>
    <w:qFormat/>
    <w:rsid w:val="00345F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39"/>
    <w:rsid w:val="0008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B1B898-DDE3-41FC-8FAA-1E3F758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 Сергей Сергеевич</dc:creator>
  <cp:lastModifiedBy>Пользователь</cp:lastModifiedBy>
  <cp:revision>2</cp:revision>
  <cp:lastPrinted>2024-08-08T06:26:00Z</cp:lastPrinted>
  <dcterms:created xsi:type="dcterms:W3CDTF">2024-08-08T11:08:00Z</dcterms:created>
  <dcterms:modified xsi:type="dcterms:W3CDTF">2024-08-08T11:08:00Z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